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6A0" w:rsidRPr="00E70914" w:rsidRDefault="002A56A0" w:rsidP="00016953">
      <w:pPr>
        <w:tabs>
          <w:tab w:val="right" w:pos="9072"/>
        </w:tabs>
        <w:rPr>
          <w:rFonts w:ascii="Arial" w:eastAsia="MS Mincho" w:hAnsi="Arial"/>
          <w:b/>
        </w:rPr>
      </w:pPr>
      <w:bookmarkStart w:id="0" w:name="OLE_LINK1"/>
      <w:r>
        <w:rPr>
          <w:rFonts w:ascii="Arial" w:eastAsia="MS Mincho" w:hAnsi="Arial"/>
          <w:b/>
          <w:bCs/>
        </w:rPr>
        <w:t>3GPP</w:t>
      </w:r>
      <w:r w:rsidR="0090367C">
        <w:rPr>
          <w:rFonts w:ascii="Arial" w:eastAsia="MS Mincho" w:hAnsi="Arial"/>
          <w:b/>
          <w:bCs/>
        </w:rPr>
        <w:t xml:space="preserve"> TSG RAN WG1 Meeting #</w:t>
      </w:r>
      <w:r w:rsidR="003704BD">
        <w:rPr>
          <w:rFonts w:ascii="Arial" w:eastAsia="MS Mincho" w:hAnsi="Arial"/>
          <w:b/>
          <w:bCs/>
        </w:rPr>
        <w:t>7</w:t>
      </w:r>
      <w:r w:rsidR="00F64177">
        <w:rPr>
          <w:rFonts w:ascii="Arial" w:eastAsia="MS Mincho" w:hAnsi="Arial"/>
          <w:b/>
          <w:bCs/>
        </w:rPr>
        <w:t>9</w:t>
      </w:r>
      <w:r w:rsidR="0090367C">
        <w:rPr>
          <w:rFonts w:ascii="Arial" w:eastAsia="MS Mincho" w:hAnsi="Arial"/>
          <w:b/>
          <w:bCs/>
        </w:rPr>
        <w:t>,</w:t>
      </w:r>
      <w:r w:rsidR="0090367C">
        <w:rPr>
          <w:rFonts w:ascii="Arial" w:eastAsia="MS Mincho" w:hAnsi="Arial"/>
          <w:b/>
          <w:bCs/>
        </w:rPr>
        <w:tab/>
        <w:t>R1-</w:t>
      </w:r>
      <w:r w:rsidR="00740D3A">
        <w:rPr>
          <w:rFonts w:ascii="Arial" w:eastAsia="MS Mincho" w:hAnsi="Arial"/>
          <w:b/>
          <w:bCs/>
        </w:rPr>
        <w:t>145158</w:t>
      </w:r>
    </w:p>
    <w:p w:rsidR="003F68FD" w:rsidRPr="003F68FD" w:rsidRDefault="004170B3" w:rsidP="00016953">
      <w:pPr>
        <w:pStyle w:val="Header"/>
        <w:tabs>
          <w:tab w:val="clear" w:pos="4536"/>
          <w:tab w:val="left" w:pos="1800"/>
        </w:tabs>
        <w:ind w:left="1800" w:hanging="1800"/>
        <w:rPr>
          <w:bCs/>
        </w:rPr>
      </w:pPr>
      <w:r>
        <w:rPr>
          <w:bCs/>
        </w:rPr>
        <w:t>San Francisco</w:t>
      </w:r>
      <w:r w:rsidR="003F68FD" w:rsidRPr="003F68FD">
        <w:rPr>
          <w:bCs/>
        </w:rPr>
        <w:t xml:space="preserve">, </w:t>
      </w:r>
      <w:r>
        <w:rPr>
          <w:bCs/>
        </w:rPr>
        <w:t>USA</w:t>
      </w:r>
      <w:r w:rsidR="003F68FD" w:rsidRPr="003F68FD">
        <w:rPr>
          <w:bCs/>
        </w:rPr>
        <w:t xml:space="preserve">, </w:t>
      </w:r>
      <w:r>
        <w:rPr>
          <w:bCs/>
        </w:rPr>
        <w:t>17</w:t>
      </w:r>
      <w:r w:rsidR="003F68FD" w:rsidRPr="003F68FD">
        <w:rPr>
          <w:rFonts w:hint="eastAsia"/>
          <w:bCs/>
          <w:vertAlign w:val="superscript"/>
        </w:rPr>
        <w:t>th</w:t>
      </w:r>
      <w:r w:rsidR="003F68FD" w:rsidRPr="003F68FD">
        <w:rPr>
          <w:bCs/>
        </w:rPr>
        <w:t xml:space="preserve"> – </w:t>
      </w:r>
      <w:r>
        <w:rPr>
          <w:bCs/>
        </w:rPr>
        <w:t>21</w:t>
      </w:r>
      <w:r w:rsidR="003F68FD" w:rsidRPr="003F68FD">
        <w:rPr>
          <w:rFonts w:hint="eastAsia"/>
          <w:bCs/>
          <w:vertAlign w:val="superscript"/>
        </w:rPr>
        <w:t>th</w:t>
      </w:r>
      <w:r w:rsidR="003F68FD" w:rsidRPr="003F68FD">
        <w:rPr>
          <w:bCs/>
        </w:rPr>
        <w:t xml:space="preserve"> </w:t>
      </w:r>
      <w:r>
        <w:rPr>
          <w:bCs/>
        </w:rPr>
        <w:t>November</w:t>
      </w:r>
      <w:r w:rsidR="003F68FD" w:rsidRPr="003F68FD">
        <w:rPr>
          <w:bCs/>
        </w:rPr>
        <w:t xml:space="preserve"> 2014</w:t>
      </w:r>
    </w:p>
    <w:p w:rsidR="00891F6D" w:rsidRDefault="00891F6D" w:rsidP="00016953">
      <w:pPr>
        <w:pStyle w:val="Header"/>
        <w:tabs>
          <w:tab w:val="clear" w:pos="4536"/>
          <w:tab w:val="left" w:pos="1800"/>
        </w:tabs>
        <w:ind w:left="1800" w:hanging="1800"/>
      </w:pPr>
    </w:p>
    <w:p w:rsidR="002A56A0" w:rsidRPr="00E70914" w:rsidRDefault="002A56A0" w:rsidP="00016953">
      <w:pPr>
        <w:pStyle w:val="Header"/>
        <w:tabs>
          <w:tab w:val="clear" w:pos="4536"/>
          <w:tab w:val="left" w:pos="1800"/>
        </w:tabs>
        <w:ind w:left="1800" w:hanging="1800"/>
      </w:pPr>
      <w:r w:rsidRPr="00E70914">
        <w:t>Source:</w:t>
      </w:r>
      <w:r w:rsidRPr="00E70914">
        <w:tab/>
        <w:t>Ericsson</w:t>
      </w:r>
    </w:p>
    <w:p w:rsidR="002A56A0" w:rsidRPr="00E70914" w:rsidRDefault="002A56A0" w:rsidP="00016953">
      <w:pPr>
        <w:pStyle w:val="Header"/>
        <w:tabs>
          <w:tab w:val="clear" w:pos="4536"/>
          <w:tab w:val="left" w:pos="1800"/>
        </w:tabs>
      </w:pPr>
      <w:r w:rsidRPr="00E70914">
        <w:t>Title:</w:t>
      </w:r>
      <w:r w:rsidRPr="00E70914">
        <w:tab/>
      </w:r>
      <w:r w:rsidR="007A4518" w:rsidRPr="007A4518">
        <w:t>Remaining Details of Soft Buffer Sharing</w:t>
      </w:r>
    </w:p>
    <w:p w:rsidR="002A56A0" w:rsidRPr="00E70914" w:rsidRDefault="002A56A0" w:rsidP="00016953">
      <w:pPr>
        <w:pStyle w:val="Header"/>
        <w:tabs>
          <w:tab w:val="left" w:pos="1800"/>
        </w:tabs>
      </w:pPr>
      <w:r w:rsidRPr="00E70914">
        <w:t>Agenda Item:</w:t>
      </w:r>
      <w:r w:rsidRPr="00E70914">
        <w:tab/>
      </w:r>
      <w:r w:rsidR="007A4518">
        <w:t>6.2.1.6</w:t>
      </w:r>
    </w:p>
    <w:p w:rsidR="002A56A0" w:rsidRPr="00E70914" w:rsidRDefault="002A56A0" w:rsidP="00016953">
      <w:pPr>
        <w:pStyle w:val="Header"/>
        <w:tabs>
          <w:tab w:val="left" w:pos="1800"/>
        </w:tabs>
      </w:pPr>
      <w:r w:rsidRPr="00E70914">
        <w:t>Document for:</w:t>
      </w:r>
      <w:r w:rsidRPr="00E70914">
        <w:tab/>
        <w:t>Discussion and Decision</w:t>
      </w:r>
    </w:p>
    <w:bookmarkEnd w:id="0"/>
    <w:p w:rsidR="002A56A0" w:rsidRPr="00E70914" w:rsidRDefault="002A56A0" w:rsidP="00016953">
      <w:pPr>
        <w:pBdr>
          <w:bottom w:val="single" w:sz="4" w:space="1" w:color="auto"/>
        </w:pBdr>
        <w:tabs>
          <w:tab w:val="left" w:pos="2552"/>
        </w:tabs>
      </w:pPr>
    </w:p>
    <w:p w:rsidR="00CD3FD9" w:rsidRPr="002C698F" w:rsidRDefault="002A56A0" w:rsidP="00016953">
      <w:pPr>
        <w:pStyle w:val="Heading1"/>
      </w:pPr>
      <w:bookmarkStart w:id="1" w:name="_Ref301342314"/>
      <w:r w:rsidRPr="00E70914">
        <w:t>Introduction</w:t>
      </w:r>
      <w:bookmarkEnd w:id="1"/>
    </w:p>
    <w:p w:rsidR="004170B3" w:rsidRDefault="00E37E8F" w:rsidP="00E37E8F">
      <w:pPr>
        <w:pStyle w:val="BodyText"/>
      </w:pPr>
      <w:r>
        <w:t xml:space="preserve">This contribution discusses the </w:t>
      </w:r>
      <w:r w:rsidR="004D178C">
        <w:t>open</w:t>
      </w:r>
      <w:r>
        <w:t xml:space="preserve"> issues on </w:t>
      </w:r>
      <w:r w:rsidR="004D178C">
        <w:t xml:space="preserve">UE soft buffer handling for D2D. </w:t>
      </w:r>
      <w:proofErr w:type="gramStart"/>
      <w:r w:rsidR="004D178C">
        <w:t>In  RAN1</w:t>
      </w:r>
      <w:proofErr w:type="gramEnd"/>
      <w:r w:rsidR="004D178C">
        <w:t>#78bis, RAN1 agreed on the following for soft buffer handling:</w:t>
      </w:r>
    </w:p>
    <w:p w:rsidR="004D178C" w:rsidRDefault="004D178C" w:rsidP="004D178C">
      <w:pPr>
        <w:numPr>
          <w:ilvl w:val="0"/>
          <w:numId w:val="43"/>
        </w:numPr>
        <w:rPr>
          <w:rFonts w:eastAsia="MS Mincho"/>
          <w:lang w:eastAsia="ja-JP"/>
        </w:rPr>
      </w:pPr>
      <w:r w:rsidRPr="009D062D">
        <w:rPr>
          <w:rFonts w:eastAsia="MS Mincho"/>
          <w:lang w:eastAsia="ja-JP"/>
        </w:rPr>
        <w:t xml:space="preserve">No standardized mechanism is defined for D2D communication </w:t>
      </w:r>
      <w:r>
        <w:rPr>
          <w:rFonts w:eastAsia="MS Mincho"/>
          <w:lang w:eastAsia="ja-JP"/>
        </w:rPr>
        <w:t xml:space="preserve">and discovery </w:t>
      </w:r>
      <w:r w:rsidRPr="009D062D">
        <w:rPr>
          <w:rFonts w:eastAsia="MS Mincho"/>
          <w:lang w:eastAsia="ja-JP"/>
        </w:rPr>
        <w:t>to share the soft buffer already defined for cellular communications</w:t>
      </w:r>
    </w:p>
    <w:p w:rsidR="004D178C" w:rsidRDefault="004D178C" w:rsidP="004D178C">
      <w:pPr>
        <w:numPr>
          <w:ilvl w:val="0"/>
          <w:numId w:val="43"/>
        </w:numPr>
        <w:rPr>
          <w:rFonts w:eastAsia="MS Mincho"/>
          <w:lang w:eastAsia="ja-JP"/>
        </w:rPr>
      </w:pPr>
      <w:r>
        <w:rPr>
          <w:rFonts w:eastAsia="MS Mincho"/>
          <w:lang w:eastAsia="ja-JP"/>
        </w:rPr>
        <w:t>T</w:t>
      </w:r>
      <w:r w:rsidRPr="00185613">
        <w:rPr>
          <w:rFonts w:eastAsia="MS Mincho"/>
          <w:lang w:eastAsia="ja-JP"/>
        </w:rPr>
        <w:t>he transmitting D2D UE always assumes that there is enough memory to always use the mother turbo code with rate 1/3</w:t>
      </w:r>
    </w:p>
    <w:p w:rsidR="004D178C" w:rsidRDefault="004D178C" w:rsidP="004D178C">
      <w:pPr>
        <w:numPr>
          <w:ilvl w:val="0"/>
          <w:numId w:val="43"/>
        </w:numPr>
        <w:rPr>
          <w:rFonts w:eastAsia="MS Mincho"/>
          <w:lang w:eastAsia="ja-JP"/>
        </w:rPr>
      </w:pPr>
      <w:r>
        <w:rPr>
          <w:rFonts w:eastAsia="MS Mincho"/>
          <w:lang w:eastAsia="ja-JP"/>
        </w:rPr>
        <w:t>The maximum aggregate data rate that a D2D UE is expected to receive is limited to [X]</w:t>
      </w:r>
    </w:p>
    <w:p w:rsidR="004D178C" w:rsidRDefault="004D178C" w:rsidP="004D178C">
      <w:pPr>
        <w:numPr>
          <w:ilvl w:val="1"/>
          <w:numId w:val="43"/>
        </w:numPr>
        <w:rPr>
          <w:rFonts w:eastAsia="MS Mincho"/>
          <w:lang w:eastAsia="ja-JP"/>
        </w:rPr>
      </w:pPr>
      <w:r>
        <w:rPr>
          <w:rFonts w:eastAsia="MS Mincho"/>
          <w:lang w:eastAsia="ja-JP"/>
        </w:rPr>
        <w:t>X may [FFS] depend on UE D2D capability</w:t>
      </w:r>
    </w:p>
    <w:p w:rsidR="004D178C" w:rsidRPr="000932F6" w:rsidRDefault="004D178C" w:rsidP="004D178C">
      <w:pPr>
        <w:numPr>
          <w:ilvl w:val="0"/>
          <w:numId w:val="43"/>
        </w:numPr>
        <w:rPr>
          <w:rFonts w:eastAsia="MS Mincho"/>
          <w:lang w:eastAsia="ja-JP"/>
        </w:rPr>
      </w:pPr>
      <w:r w:rsidRPr="000932F6">
        <w:rPr>
          <w:rFonts w:eastAsia="MS Mincho"/>
          <w:lang w:eastAsia="ja-JP"/>
        </w:rPr>
        <w:t>The number of HARQ processes per transmitting D2D UE is 1 per destination ID</w:t>
      </w:r>
    </w:p>
    <w:p w:rsidR="004D178C" w:rsidRPr="000932F6" w:rsidRDefault="004D178C" w:rsidP="004D178C">
      <w:pPr>
        <w:numPr>
          <w:ilvl w:val="1"/>
          <w:numId w:val="43"/>
        </w:numPr>
        <w:rPr>
          <w:rFonts w:eastAsia="MS Mincho"/>
          <w:lang w:eastAsia="ja-JP"/>
        </w:rPr>
      </w:pPr>
      <w:r w:rsidRPr="000932F6">
        <w:rPr>
          <w:rFonts w:eastAsia="MS Mincho"/>
          <w:lang w:eastAsia="ja-JP"/>
        </w:rPr>
        <w:t xml:space="preserve">Note that any discussion of communication with multiple destination IDs is up to RAN2. </w:t>
      </w:r>
    </w:p>
    <w:p w:rsidR="004D178C" w:rsidRDefault="004D178C" w:rsidP="004D178C">
      <w:pPr>
        <w:numPr>
          <w:ilvl w:val="0"/>
          <w:numId w:val="43"/>
        </w:numPr>
        <w:rPr>
          <w:rFonts w:eastAsia="MS Mincho"/>
          <w:lang w:eastAsia="ja-JP"/>
        </w:rPr>
      </w:pPr>
      <w:r>
        <w:rPr>
          <w:rFonts w:eastAsia="MS Mincho"/>
          <w:lang w:eastAsia="ja-JP"/>
        </w:rPr>
        <w:t xml:space="preserve">D2D UE </w:t>
      </w:r>
      <w:proofErr w:type="spellStart"/>
      <w:r>
        <w:rPr>
          <w:rFonts w:eastAsia="MS Mincho"/>
          <w:lang w:eastAsia="ja-JP"/>
        </w:rPr>
        <w:t>behaviour</w:t>
      </w:r>
      <w:proofErr w:type="spellEnd"/>
      <w:r>
        <w:rPr>
          <w:rFonts w:eastAsia="MS Mincho"/>
          <w:lang w:eastAsia="ja-JP"/>
        </w:rPr>
        <w:t xml:space="preserve"> in cases when these limits are reached is left to D2D UE implementation</w:t>
      </w:r>
    </w:p>
    <w:p w:rsidR="00C658DD" w:rsidRDefault="00C658DD" w:rsidP="00C658DD"/>
    <w:p w:rsidR="00C658DD" w:rsidRDefault="004D178C" w:rsidP="00016953">
      <w:pPr>
        <w:pStyle w:val="BodyText"/>
        <w:rPr>
          <w:lang w:eastAsia="zh-CN"/>
        </w:rPr>
      </w:pPr>
      <w:r>
        <w:t xml:space="preserve">An LS was sent to RAN4 for them to take this into account when defining soft-combining for </w:t>
      </w:r>
      <w:r w:rsidRPr="00684440">
        <w:rPr>
          <w:lang w:eastAsia="zh-CN"/>
        </w:rPr>
        <w:t xml:space="preserve">f </w:t>
      </w:r>
      <w:r>
        <w:rPr>
          <w:lang w:eastAsia="zh-CN"/>
        </w:rPr>
        <w:t>D2D communication</w:t>
      </w:r>
      <w:r w:rsidRPr="00684440">
        <w:rPr>
          <w:lang w:eastAsia="zh-CN"/>
        </w:rPr>
        <w:t xml:space="preserve"> </w:t>
      </w:r>
      <w:proofErr w:type="gramStart"/>
      <w:r w:rsidRPr="00684440">
        <w:rPr>
          <w:lang w:eastAsia="zh-CN"/>
        </w:rPr>
        <w:t>messages</w:t>
      </w:r>
      <w:r>
        <w:rPr>
          <w:lang w:eastAsia="zh-CN"/>
        </w:rPr>
        <w:t>[</w:t>
      </w:r>
      <w:proofErr w:type="gramEnd"/>
      <w:r>
        <w:rPr>
          <w:lang w:eastAsia="zh-CN"/>
        </w:rPr>
        <w:t xml:space="preserve">1]. In this contribution we discuss </w:t>
      </w:r>
      <w:r w:rsidR="00BA5A89">
        <w:rPr>
          <w:lang w:eastAsia="zh-CN"/>
        </w:rPr>
        <w:t xml:space="preserve">further </w:t>
      </w:r>
      <w:r>
        <w:rPr>
          <w:lang w:eastAsia="zh-CN"/>
        </w:rPr>
        <w:t xml:space="preserve">the </w:t>
      </w:r>
      <w:r w:rsidR="00BA5A89">
        <w:rPr>
          <w:lang w:eastAsia="zh-CN"/>
        </w:rPr>
        <w:t xml:space="preserve">receiving </w:t>
      </w:r>
      <w:r>
        <w:rPr>
          <w:lang w:eastAsia="zh-CN"/>
        </w:rPr>
        <w:t xml:space="preserve">processing </w:t>
      </w:r>
      <w:r w:rsidR="00BA5A89">
        <w:rPr>
          <w:lang w:eastAsia="zh-CN"/>
        </w:rPr>
        <w:t xml:space="preserve">capabilities needed for </w:t>
      </w:r>
      <w:r>
        <w:rPr>
          <w:lang w:eastAsia="zh-CN"/>
        </w:rPr>
        <w:t>D2D reception</w:t>
      </w:r>
      <w:r w:rsidR="00A16D53">
        <w:rPr>
          <w:lang w:eastAsia="zh-CN"/>
        </w:rPr>
        <w:t xml:space="preserve"> including the value</w:t>
      </w:r>
      <w:r w:rsidR="00BA5A89">
        <w:rPr>
          <w:lang w:eastAsia="zh-CN"/>
        </w:rPr>
        <w:t xml:space="preserve"> of X</w:t>
      </w:r>
      <w:r>
        <w:rPr>
          <w:lang w:eastAsia="zh-CN"/>
        </w:rPr>
        <w:t xml:space="preserve">. </w:t>
      </w:r>
    </w:p>
    <w:p w:rsidR="001866DA" w:rsidRPr="00E70914" w:rsidRDefault="001866DA" w:rsidP="00016953">
      <w:pPr>
        <w:pStyle w:val="BodyText"/>
      </w:pPr>
      <w:bookmarkStart w:id="2" w:name="_GoBack"/>
      <w:bookmarkEnd w:id="2"/>
    </w:p>
    <w:p w:rsidR="002F00C3" w:rsidRDefault="002A56A0" w:rsidP="00F64177">
      <w:pPr>
        <w:pStyle w:val="Heading1"/>
      </w:pPr>
      <w:bookmarkStart w:id="3" w:name="_Ref346118000"/>
      <w:r w:rsidRPr="00E70914">
        <w:t>Discussion</w:t>
      </w:r>
      <w:bookmarkEnd w:id="3"/>
    </w:p>
    <w:p w:rsidR="002946C0" w:rsidRDefault="00AD7AAA" w:rsidP="002946C0">
      <w:pPr>
        <w:pStyle w:val="Heading2"/>
      </w:pPr>
      <w:r>
        <w:t>Decoupling p</w:t>
      </w:r>
      <w:r w:rsidR="002946C0">
        <w:t>rocessing requirements</w:t>
      </w:r>
    </w:p>
    <w:p w:rsidR="009E58D9" w:rsidRDefault="005909F4" w:rsidP="00EE5720">
      <w:pPr>
        <w:pStyle w:val="BodyText"/>
      </w:pPr>
      <w:r>
        <w:t xml:space="preserve">Since it was agreed </w:t>
      </w:r>
      <w:r w:rsidR="00BA5A89">
        <w:t xml:space="preserve">that will be no </w:t>
      </w:r>
      <w:r w:rsidR="00BA5A89" w:rsidRPr="009D062D">
        <w:rPr>
          <w:rFonts w:eastAsia="MS Mincho"/>
          <w:lang w:eastAsia="ja-JP"/>
        </w:rPr>
        <w:t>standardized mechanism</w:t>
      </w:r>
      <w:r w:rsidR="00BA5A89">
        <w:t xml:space="preserve"> for sharing the UE </w:t>
      </w:r>
      <w:r>
        <w:t xml:space="preserve">soft buffer </w:t>
      </w:r>
      <w:r w:rsidR="00BA5A89">
        <w:t xml:space="preserve">between cellular communications and D2D communication and discovery, it is a </w:t>
      </w:r>
      <w:r>
        <w:t xml:space="preserve">natural extension </w:t>
      </w:r>
      <w:r w:rsidR="00BA5A89">
        <w:t xml:space="preserve">that there will be no standardized mechanism sharing </w:t>
      </w:r>
      <w:r w:rsidR="00553647">
        <w:t xml:space="preserve">the processing resources in the UE between </w:t>
      </w:r>
      <w:r w:rsidR="009E58D9">
        <w:t>cellular communications and D2D communication and discovery either. Hence, the cellular UL and DL capabilities are unaffected by UE D2D transmissions and reception. Also, similar as for cellular, the assumption for D2D should be that the control channels can always be decoded and the processing capacity needed for those do not need to be included in the aggregated data rate. In summary, we make the following observations:</w:t>
      </w:r>
    </w:p>
    <w:p w:rsidR="009E58D9" w:rsidRDefault="009E58D9" w:rsidP="00EE5720">
      <w:pPr>
        <w:pStyle w:val="BodyText"/>
        <w:rPr>
          <w:b/>
        </w:rPr>
      </w:pPr>
      <w:r>
        <w:rPr>
          <w:b/>
        </w:rPr>
        <w:t>Observations:</w:t>
      </w:r>
    </w:p>
    <w:p w:rsidR="009E58D9" w:rsidRDefault="009E58D9" w:rsidP="009E58D9">
      <w:pPr>
        <w:pStyle w:val="BodyText"/>
        <w:numPr>
          <w:ilvl w:val="0"/>
          <w:numId w:val="44"/>
        </w:numPr>
      </w:pPr>
      <w:r>
        <w:t xml:space="preserve">The aggregated data rate X only includes D2D data and discovery channel bit rates </w:t>
      </w:r>
    </w:p>
    <w:p w:rsidR="009E58D9" w:rsidRDefault="009E58D9" w:rsidP="009E58D9">
      <w:pPr>
        <w:pStyle w:val="BodyText"/>
        <w:numPr>
          <w:ilvl w:val="0"/>
          <w:numId w:val="44"/>
        </w:numPr>
      </w:pPr>
      <w:r>
        <w:t>Cellular DL and UL capabilities are unaffected by D2D transmission and reception</w:t>
      </w:r>
    </w:p>
    <w:p w:rsidR="009E58D9" w:rsidRDefault="009E58D9" w:rsidP="009E58D9">
      <w:pPr>
        <w:pStyle w:val="BodyText"/>
        <w:numPr>
          <w:ilvl w:val="0"/>
          <w:numId w:val="44"/>
        </w:numPr>
      </w:pPr>
      <w:r>
        <w:t>D2D control channels can always be decoded by the UE and is not considered in the aggregated data</w:t>
      </w:r>
    </w:p>
    <w:p w:rsidR="002946C0" w:rsidRPr="009E58D9" w:rsidRDefault="00AD7AAA" w:rsidP="002946C0">
      <w:pPr>
        <w:pStyle w:val="Heading2"/>
      </w:pPr>
      <w:r>
        <w:lastRenderedPageBreak/>
        <w:t xml:space="preserve">Maximum </w:t>
      </w:r>
      <w:r w:rsidR="00E9097B">
        <w:t>number of transport block bits</w:t>
      </w:r>
      <w:r>
        <w:t xml:space="preserve"> for communication </w:t>
      </w:r>
    </w:p>
    <w:p w:rsidR="00EE5720" w:rsidRDefault="002946C0" w:rsidP="00EE5720">
      <w:pPr>
        <w:pStyle w:val="BodyText"/>
      </w:pPr>
      <w:r>
        <w:t xml:space="preserve">When dimensioning the receiving processing capabilities in the UE, the needed receiving processing capacity in the UE is proportional to the data rate, i.e. the number of transport block bits received within a TTI. With the defined transport block size definitions, the number transport blocks increases with the number of resources blocks received. Assuming a full bandwidth transmission </w:t>
      </w:r>
      <w:r w:rsidR="00AD7AAA">
        <w:t xml:space="preserve">from a single </w:t>
      </w:r>
      <w:proofErr w:type="gramStart"/>
      <w:r w:rsidR="00AD7AAA">
        <w:t>UE(</w:t>
      </w:r>
      <w:proofErr w:type="gramEnd"/>
      <w:r w:rsidR="00AD7AAA">
        <w:t xml:space="preserve">100 RBs), 11 OFDM symbols available for communication, maximum 16QAM and a maximum code rate of 0.93, the maximum transmit block size is 49104. Aligning with the defined transport block sizes </w:t>
      </w:r>
      <w:r w:rsidR="00C15B51">
        <w:t xml:space="preserve">in 36.213 </w:t>
      </w:r>
      <w:r w:rsidR="00AD7AAA">
        <w:t>for 100 RBs</w:t>
      </w:r>
      <w:r w:rsidR="00C15B51">
        <w:t>, the largest supported transport block size with less than 49104</w:t>
      </w:r>
      <w:r w:rsidR="00AD7AAA">
        <w:t xml:space="preserve"> </w:t>
      </w:r>
      <w:r w:rsidR="00C15B51">
        <w:t xml:space="preserve">bits </w:t>
      </w:r>
      <w:r w:rsidR="00AD7AAA">
        <w:t>is 46888</w:t>
      </w:r>
      <w:r w:rsidR="00C15B51">
        <w:t>.</w:t>
      </w:r>
    </w:p>
    <w:p w:rsidR="00C15B51" w:rsidRDefault="00C15B51" w:rsidP="00EE5720">
      <w:pPr>
        <w:pStyle w:val="BodyText"/>
      </w:pPr>
      <w:r>
        <w:t xml:space="preserve">The above analysis was for receiving a D2D communication from one UE, but still holds for transmissions from multiple UEs as long as the total number of RBs and transport block bits does not exceed the maximum. Hence, we propose defining X as the </w:t>
      </w:r>
      <w:r w:rsidR="00E9097B">
        <w:t xml:space="preserve">total </w:t>
      </w:r>
      <w:r>
        <w:t xml:space="preserve">maximum number of D2D transport block bits received </w:t>
      </w:r>
      <w:r w:rsidR="00E9097B">
        <w:t>with</w:t>
      </w:r>
      <w:r>
        <w:t>in a TTI.</w:t>
      </w:r>
      <w:r w:rsidR="00E9097B">
        <w:t xml:space="preserve"> Setting the maximum number transport block bits to the maximum assuming a full bandwidth allocation will limit the possibility of the total data rate exceeding UE capability.</w:t>
      </w:r>
    </w:p>
    <w:p w:rsidR="00C15B51" w:rsidRDefault="00C15B51" w:rsidP="00C15B51">
      <w:pPr>
        <w:pStyle w:val="BodyText"/>
        <w:rPr>
          <w:b/>
        </w:rPr>
      </w:pPr>
      <w:r>
        <w:rPr>
          <w:b/>
        </w:rPr>
        <w:t>Proposal:</w:t>
      </w:r>
    </w:p>
    <w:p w:rsidR="00C15B51" w:rsidRDefault="00E9097B" w:rsidP="00C15B51">
      <w:pPr>
        <w:pStyle w:val="BodyText"/>
        <w:numPr>
          <w:ilvl w:val="0"/>
          <w:numId w:val="44"/>
        </w:numPr>
      </w:pPr>
      <w:r>
        <w:t xml:space="preserve">For communication, the aggregated data rate X </w:t>
      </w:r>
      <w:r w:rsidR="00375FC6">
        <w:t xml:space="preserve">received from multiple UEs </w:t>
      </w:r>
      <w:r>
        <w:t xml:space="preserve">is defined as the total number of transport blocks bits received </w:t>
      </w:r>
      <w:r w:rsidR="00375FC6">
        <w:t xml:space="preserve">within a TTI </w:t>
      </w:r>
    </w:p>
    <w:p w:rsidR="00C15B51" w:rsidRDefault="00E9097B" w:rsidP="00952015">
      <w:pPr>
        <w:pStyle w:val="BodyText"/>
        <w:numPr>
          <w:ilvl w:val="1"/>
          <w:numId w:val="44"/>
        </w:numPr>
      </w:pPr>
      <w:r>
        <w:t>The maximum number of transport block bits in a TTI is set to 46888.</w:t>
      </w:r>
    </w:p>
    <w:p w:rsidR="002946C0" w:rsidRDefault="00E9097B" w:rsidP="002946C0">
      <w:pPr>
        <w:pStyle w:val="Heading2"/>
      </w:pPr>
      <w:r>
        <w:t>Maximum number of transport block bits for communication</w:t>
      </w:r>
    </w:p>
    <w:p w:rsidR="00E9097B" w:rsidRPr="00E9097B" w:rsidRDefault="00E9097B" w:rsidP="00E9097B">
      <w:pPr>
        <w:pStyle w:val="BodyText"/>
      </w:pPr>
      <w:r>
        <w:t xml:space="preserve">For discovery, the data rate is limited by the discovery message size and the number of simultaneous transmissions is limited by the </w:t>
      </w:r>
      <w:r w:rsidR="00952015">
        <w:t>number of available RBs</w:t>
      </w:r>
      <w:r>
        <w:t xml:space="preserve">. Assuming a discovery message of 210 bits </w:t>
      </w:r>
      <w:r w:rsidR="00952015">
        <w:t xml:space="preserve">mapped to a </w:t>
      </w:r>
      <w:r>
        <w:t>2</w:t>
      </w:r>
      <w:r w:rsidR="00952015">
        <w:t xml:space="preserve"> </w:t>
      </w:r>
      <w:r>
        <w:t>PRB allocation</w:t>
      </w:r>
      <w:r w:rsidR="00952015">
        <w:t>s</w:t>
      </w:r>
      <w:r>
        <w:t xml:space="preserve">, </w:t>
      </w:r>
      <w:r w:rsidR="00952015">
        <w:t xml:space="preserve">in 20 MHz </w:t>
      </w:r>
      <w:r>
        <w:t>the maximum number of transport block</w:t>
      </w:r>
      <w:r w:rsidR="00952015">
        <w:t xml:space="preserve"> bits will be 10500. The final value for the aggregated data rate X is then set by X. </w:t>
      </w:r>
    </w:p>
    <w:p w:rsidR="00375FC6" w:rsidRDefault="00375FC6" w:rsidP="00375FC6">
      <w:pPr>
        <w:pStyle w:val="BodyText"/>
        <w:rPr>
          <w:b/>
        </w:rPr>
      </w:pPr>
      <w:r>
        <w:rPr>
          <w:b/>
        </w:rPr>
        <w:t>Proposal:</w:t>
      </w:r>
    </w:p>
    <w:p w:rsidR="002946C0" w:rsidRDefault="00375FC6" w:rsidP="00375FC6">
      <w:pPr>
        <w:pStyle w:val="BodyText"/>
        <w:numPr>
          <w:ilvl w:val="0"/>
          <w:numId w:val="44"/>
        </w:numPr>
      </w:pPr>
      <w:r>
        <w:t>For discovery, the aggregated data rate X received from multiple UEs is defined as 50 times the discovery message size.</w:t>
      </w:r>
    </w:p>
    <w:p w:rsidR="001866DA" w:rsidRPr="002946C0" w:rsidRDefault="001866DA" w:rsidP="001866DA">
      <w:pPr>
        <w:pStyle w:val="BodyText"/>
        <w:ind w:left="720"/>
      </w:pPr>
    </w:p>
    <w:p w:rsidR="001866DA" w:rsidRPr="001866DA" w:rsidRDefault="002D4C4D" w:rsidP="001866DA">
      <w:pPr>
        <w:pStyle w:val="Heading1"/>
      </w:pPr>
      <w:r w:rsidRPr="00E70914">
        <w:t>Conclusion</w:t>
      </w:r>
      <w:r w:rsidR="00CA3C05">
        <w:t>s</w:t>
      </w:r>
    </w:p>
    <w:p w:rsidR="001866DA" w:rsidRPr="001866DA" w:rsidRDefault="001866DA" w:rsidP="001866DA">
      <w:pPr>
        <w:pStyle w:val="BodyText"/>
        <w:rPr>
          <w:b/>
          <w:i/>
        </w:rPr>
      </w:pPr>
      <w:r w:rsidRPr="001866DA">
        <w:rPr>
          <w:b/>
          <w:i/>
        </w:rPr>
        <w:t>Observations:</w:t>
      </w:r>
    </w:p>
    <w:p w:rsidR="001866DA" w:rsidRPr="001866DA" w:rsidRDefault="001866DA" w:rsidP="001866DA">
      <w:pPr>
        <w:pStyle w:val="BodyText"/>
        <w:numPr>
          <w:ilvl w:val="0"/>
          <w:numId w:val="44"/>
        </w:numPr>
        <w:rPr>
          <w:b/>
          <w:i/>
        </w:rPr>
      </w:pPr>
      <w:r w:rsidRPr="001866DA">
        <w:rPr>
          <w:b/>
          <w:i/>
        </w:rPr>
        <w:t xml:space="preserve">The aggregated data rate X only includes D2D data and discovery channel bit rates </w:t>
      </w:r>
    </w:p>
    <w:p w:rsidR="001866DA" w:rsidRPr="001866DA" w:rsidRDefault="001866DA" w:rsidP="001866DA">
      <w:pPr>
        <w:pStyle w:val="BodyText"/>
        <w:numPr>
          <w:ilvl w:val="0"/>
          <w:numId w:val="44"/>
        </w:numPr>
        <w:rPr>
          <w:b/>
          <w:i/>
        </w:rPr>
      </w:pPr>
      <w:r w:rsidRPr="001866DA">
        <w:rPr>
          <w:b/>
          <w:i/>
        </w:rPr>
        <w:t>Cellular DL and UL capabilities are unaffected by D2D transmission and reception</w:t>
      </w:r>
    </w:p>
    <w:p w:rsidR="001866DA" w:rsidRPr="001866DA" w:rsidRDefault="001866DA" w:rsidP="001866DA">
      <w:pPr>
        <w:pStyle w:val="BodyText"/>
        <w:numPr>
          <w:ilvl w:val="0"/>
          <w:numId w:val="44"/>
        </w:numPr>
        <w:rPr>
          <w:b/>
          <w:i/>
        </w:rPr>
      </w:pPr>
      <w:r w:rsidRPr="001866DA">
        <w:rPr>
          <w:b/>
          <w:i/>
        </w:rPr>
        <w:t>D2D control channels can always be decoded by the UE and is not considered in the aggregated data</w:t>
      </w:r>
    </w:p>
    <w:p w:rsidR="001866DA" w:rsidRPr="001866DA" w:rsidRDefault="001866DA" w:rsidP="001866DA">
      <w:pPr>
        <w:pStyle w:val="BodyText"/>
        <w:rPr>
          <w:b/>
          <w:i/>
        </w:rPr>
      </w:pPr>
      <w:r w:rsidRPr="001866DA">
        <w:rPr>
          <w:b/>
          <w:i/>
        </w:rPr>
        <w:t>Proposal:</w:t>
      </w:r>
    </w:p>
    <w:p w:rsidR="001866DA" w:rsidRPr="001866DA" w:rsidRDefault="001866DA" w:rsidP="001866DA">
      <w:pPr>
        <w:pStyle w:val="BodyText"/>
        <w:numPr>
          <w:ilvl w:val="0"/>
          <w:numId w:val="44"/>
        </w:numPr>
        <w:rPr>
          <w:b/>
          <w:i/>
        </w:rPr>
      </w:pPr>
      <w:r w:rsidRPr="001866DA">
        <w:rPr>
          <w:b/>
          <w:i/>
        </w:rPr>
        <w:t xml:space="preserve">For communication, the aggregated data rate X received from multiple UEs is defined as the total number of transport blocks bits received within a TTI </w:t>
      </w:r>
    </w:p>
    <w:p w:rsidR="001866DA" w:rsidRPr="001866DA" w:rsidRDefault="001866DA" w:rsidP="001866DA">
      <w:pPr>
        <w:pStyle w:val="BodyText"/>
        <w:numPr>
          <w:ilvl w:val="1"/>
          <w:numId w:val="44"/>
        </w:numPr>
        <w:rPr>
          <w:b/>
          <w:i/>
        </w:rPr>
      </w:pPr>
      <w:r w:rsidRPr="001866DA">
        <w:rPr>
          <w:b/>
          <w:i/>
        </w:rPr>
        <w:t>The maximum number of transport block bits in a TTI is set to 46888.</w:t>
      </w:r>
    </w:p>
    <w:p w:rsidR="001866DA" w:rsidRPr="001866DA" w:rsidRDefault="001866DA" w:rsidP="001866DA">
      <w:pPr>
        <w:pStyle w:val="BodyText"/>
        <w:numPr>
          <w:ilvl w:val="0"/>
          <w:numId w:val="44"/>
        </w:numPr>
        <w:rPr>
          <w:b/>
          <w:i/>
        </w:rPr>
      </w:pPr>
      <w:r w:rsidRPr="001866DA">
        <w:rPr>
          <w:b/>
          <w:i/>
        </w:rPr>
        <w:t>For discovery, the aggregated data rate X received from multiple UEs is defined as 50 times the discovery message size.</w:t>
      </w:r>
    </w:p>
    <w:p w:rsidR="001866DA" w:rsidRPr="001866DA" w:rsidRDefault="001866DA" w:rsidP="001866DA">
      <w:pPr>
        <w:pStyle w:val="BodyText"/>
      </w:pPr>
    </w:p>
    <w:p w:rsidR="002A56A0" w:rsidRPr="00E70914" w:rsidRDefault="002A56A0" w:rsidP="00016953">
      <w:pPr>
        <w:pStyle w:val="Heading1"/>
      </w:pPr>
      <w:r w:rsidRPr="00E70914">
        <w:lastRenderedPageBreak/>
        <w:t>References</w:t>
      </w:r>
    </w:p>
    <w:p w:rsidR="00CF5E33" w:rsidRDefault="00AA34BC" w:rsidP="004D178C">
      <w:pPr>
        <w:pStyle w:val="Reference"/>
      </w:pPr>
      <w:bookmarkStart w:id="4" w:name="_Ref394506093"/>
      <w:bookmarkStart w:id="5" w:name="_Ref377392850"/>
      <w:bookmarkStart w:id="6" w:name="_Ref381794187"/>
      <w:bookmarkStart w:id="7" w:name="_Ref382574181"/>
      <w:bookmarkStart w:id="8" w:name="_Ref399347084"/>
      <w:r>
        <w:t>R1-</w:t>
      </w:r>
      <w:bookmarkEnd w:id="4"/>
      <w:bookmarkEnd w:id="5"/>
      <w:bookmarkEnd w:id="6"/>
      <w:bookmarkEnd w:id="7"/>
      <w:r w:rsidR="00F87CF8">
        <w:t>14</w:t>
      </w:r>
      <w:r w:rsidR="004D178C">
        <w:t>4524</w:t>
      </w:r>
      <w:r w:rsidR="00F87CF8">
        <w:t>, “</w:t>
      </w:r>
      <w:r w:rsidR="004D178C" w:rsidRPr="004D178C">
        <w:rPr>
          <w:lang w:eastAsia="ja-JP"/>
        </w:rPr>
        <w:t>LS on soft buffer management for D2D communications</w:t>
      </w:r>
      <w:r w:rsidR="00F87CF8">
        <w:rPr>
          <w:lang w:eastAsia="ja-JP"/>
        </w:rPr>
        <w:t>”</w:t>
      </w:r>
      <w:bookmarkEnd w:id="8"/>
      <w:r w:rsidR="004D178C">
        <w:rPr>
          <w:lang w:eastAsia="ja-JP"/>
        </w:rPr>
        <w:t>, RAN1</w:t>
      </w:r>
    </w:p>
    <w:p w:rsidR="00FB6508" w:rsidRDefault="00FB6508" w:rsidP="00AB7A0C">
      <w:pPr>
        <w:pStyle w:val="Reference"/>
        <w:numPr>
          <w:ilvl w:val="0"/>
          <w:numId w:val="0"/>
        </w:numPr>
      </w:pPr>
    </w:p>
    <w:sectPr w:rsidR="00FB650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nsid w:val="03EC36DC"/>
    <w:multiLevelType w:val="hybridMultilevel"/>
    <w:tmpl w:val="C1E85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D75F5"/>
    <w:multiLevelType w:val="hybridMultilevel"/>
    <w:tmpl w:val="F724EBA0"/>
    <w:lvl w:ilvl="0" w:tplc="9A9E342C">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0B8936C8"/>
    <w:multiLevelType w:val="hybridMultilevel"/>
    <w:tmpl w:val="4B0E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244D87"/>
    <w:multiLevelType w:val="hybridMultilevel"/>
    <w:tmpl w:val="8FBCA34A"/>
    <w:lvl w:ilvl="0" w:tplc="ABB60370">
      <w:start w:val="1"/>
      <w:numFmt w:val="bullet"/>
      <w:lvlText w:val="•"/>
      <w:lvlJc w:val="left"/>
      <w:pPr>
        <w:tabs>
          <w:tab w:val="num" w:pos="720"/>
        </w:tabs>
        <w:ind w:left="720" w:hanging="360"/>
      </w:pPr>
      <w:rPr>
        <w:rFonts w:ascii="Arial" w:hAnsi="Arial" w:cs="Times New Roman" w:hint="default"/>
      </w:rPr>
    </w:lvl>
    <w:lvl w:ilvl="1" w:tplc="21147BBA">
      <w:start w:val="698"/>
      <w:numFmt w:val="bullet"/>
      <w:lvlText w:val="–"/>
      <w:lvlJc w:val="left"/>
      <w:pPr>
        <w:tabs>
          <w:tab w:val="num" w:pos="1440"/>
        </w:tabs>
        <w:ind w:left="1440" w:hanging="360"/>
      </w:pPr>
      <w:rPr>
        <w:rFonts w:ascii="Arial" w:hAnsi="Arial" w:cs="Times New Roman" w:hint="default"/>
      </w:rPr>
    </w:lvl>
    <w:lvl w:ilvl="2" w:tplc="3006A494">
      <w:start w:val="698"/>
      <w:numFmt w:val="bullet"/>
      <w:lvlText w:val="•"/>
      <w:lvlJc w:val="left"/>
      <w:pPr>
        <w:tabs>
          <w:tab w:val="num" w:pos="2160"/>
        </w:tabs>
        <w:ind w:left="2160" w:hanging="360"/>
      </w:pPr>
      <w:rPr>
        <w:rFonts w:ascii="Arial" w:hAnsi="Arial" w:cs="Times New Roman" w:hint="default"/>
      </w:rPr>
    </w:lvl>
    <w:lvl w:ilvl="3" w:tplc="479EF92A">
      <w:start w:val="698"/>
      <w:numFmt w:val="bullet"/>
      <w:lvlText w:val="–"/>
      <w:lvlJc w:val="left"/>
      <w:pPr>
        <w:tabs>
          <w:tab w:val="num" w:pos="2880"/>
        </w:tabs>
        <w:ind w:left="2880" w:hanging="360"/>
      </w:pPr>
      <w:rPr>
        <w:rFonts w:ascii="Arial" w:hAnsi="Arial" w:cs="Times New Roman" w:hint="default"/>
      </w:rPr>
    </w:lvl>
    <w:lvl w:ilvl="4" w:tplc="70F28B48">
      <w:start w:val="1"/>
      <w:numFmt w:val="bullet"/>
      <w:lvlText w:val="•"/>
      <w:lvlJc w:val="left"/>
      <w:pPr>
        <w:tabs>
          <w:tab w:val="num" w:pos="3600"/>
        </w:tabs>
        <w:ind w:left="3600" w:hanging="360"/>
      </w:pPr>
      <w:rPr>
        <w:rFonts w:ascii="Arial" w:hAnsi="Arial" w:cs="Times New Roman" w:hint="default"/>
      </w:rPr>
    </w:lvl>
    <w:lvl w:ilvl="5" w:tplc="DBDE7436">
      <w:start w:val="1"/>
      <w:numFmt w:val="bullet"/>
      <w:lvlText w:val="•"/>
      <w:lvlJc w:val="left"/>
      <w:pPr>
        <w:tabs>
          <w:tab w:val="num" w:pos="4320"/>
        </w:tabs>
        <w:ind w:left="4320" w:hanging="360"/>
      </w:pPr>
      <w:rPr>
        <w:rFonts w:ascii="Arial" w:hAnsi="Arial" w:cs="Times New Roman" w:hint="default"/>
      </w:rPr>
    </w:lvl>
    <w:lvl w:ilvl="6" w:tplc="DCB0E730">
      <w:start w:val="1"/>
      <w:numFmt w:val="bullet"/>
      <w:lvlText w:val="•"/>
      <w:lvlJc w:val="left"/>
      <w:pPr>
        <w:tabs>
          <w:tab w:val="num" w:pos="5040"/>
        </w:tabs>
        <w:ind w:left="5040" w:hanging="360"/>
      </w:pPr>
      <w:rPr>
        <w:rFonts w:ascii="Arial" w:hAnsi="Arial" w:cs="Times New Roman" w:hint="default"/>
      </w:rPr>
    </w:lvl>
    <w:lvl w:ilvl="7" w:tplc="D984455E">
      <w:start w:val="1"/>
      <w:numFmt w:val="bullet"/>
      <w:lvlText w:val="•"/>
      <w:lvlJc w:val="left"/>
      <w:pPr>
        <w:tabs>
          <w:tab w:val="num" w:pos="5760"/>
        </w:tabs>
        <w:ind w:left="5760" w:hanging="360"/>
      </w:pPr>
      <w:rPr>
        <w:rFonts w:ascii="Arial" w:hAnsi="Arial" w:cs="Times New Roman" w:hint="default"/>
      </w:rPr>
    </w:lvl>
    <w:lvl w:ilvl="8" w:tplc="852EB4CC">
      <w:start w:val="1"/>
      <w:numFmt w:val="bullet"/>
      <w:lvlText w:val="•"/>
      <w:lvlJc w:val="left"/>
      <w:pPr>
        <w:tabs>
          <w:tab w:val="num" w:pos="6480"/>
        </w:tabs>
        <w:ind w:left="6480" w:hanging="360"/>
      </w:pPr>
      <w:rPr>
        <w:rFonts w:ascii="Arial" w:hAnsi="Arial" w:cs="Times New Roman" w:hint="default"/>
      </w:rPr>
    </w:lvl>
  </w:abstractNum>
  <w:abstractNum w:abstractNumId="6">
    <w:nsid w:val="13E310F5"/>
    <w:multiLevelType w:val="hybridMultilevel"/>
    <w:tmpl w:val="79FAD6E4"/>
    <w:lvl w:ilvl="0" w:tplc="A014A88C">
      <w:start w:val="1"/>
      <w:numFmt w:val="bullet"/>
      <w:lvlText w:val="•"/>
      <w:lvlJc w:val="left"/>
      <w:pPr>
        <w:tabs>
          <w:tab w:val="num" w:pos="720"/>
        </w:tabs>
        <w:ind w:left="720" w:hanging="360"/>
      </w:pPr>
      <w:rPr>
        <w:rFonts w:ascii="Arial" w:hAnsi="Arial" w:hint="default"/>
      </w:rPr>
    </w:lvl>
    <w:lvl w:ilvl="1" w:tplc="8A882182" w:tentative="1">
      <w:start w:val="1"/>
      <w:numFmt w:val="bullet"/>
      <w:lvlText w:val="•"/>
      <w:lvlJc w:val="left"/>
      <w:pPr>
        <w:tabs>
          <w:tab w:val="num" w:pos="1440"/>
        </w:tabs>
        <w:ind w:left="1440" w:hanging="360"/>
      </w:pPr>
      <w:rPr>
        <w:rFonts w:ascii="Arial" w:hAnsi="Arial" w:hint="default"/>
      </w:rPr>
    </w:lvl>
    <w:lvl w:ilvl="2" w:tplc="FD6E0538" w:tentative="1">
      <w:start w:val="1"/>
      <w:numFmt w:val="bullet"/>
      <w:lvlText w:val="•"/>
      <w:lvlJc w:val="left"/>
      <w:pPr>
        <w:tabs>
          <w:tab w:val="num" w:pos="2160"/>
        </w:tabs>
        <w:ind w:left="2160" w:hanging="360"/>
      </w:pPr>
      <w:rPr>
        <w:rFonts w:ascii="Arial" w:hAnsi="Arial" w:hint="default"/>
      </w:rPr>
    </w:lvl>
    <w:lvl w:ilvl="3" w:tplc="76BCA2F4" w:tentative="1">
      <w:start w:val="1"/>
      <w:numFmt w:val="bullet"/>
      <w:lvlText w:val="•"/>
      <w:lvlJc w:val="left"/>
      <w:pPr>
        <w:tabs>
          <w:tab w:val="num" w:pos="2880"/>
        </w:tabs>
        <w:ind w:left="2880" w:hanging="360"/>
      </w:pPr>
      <w:rPr>
        <w:rFonts w:ascii="Arial" w:hAnsi="Arial" w:hint="default"/>
      </w:rPr>
    </w:lvl>
    <w:lvl w:ilvl="4" w:tplc="1A2679CC" w:tentative="1">
      <w:start w:val="1"/>
      <w:numFmt w:val="bullet"/>
      <w:lvlText w:val="•"/>
      <w:lvlJc w:val="left"/>
      <w:pPr>
        <w:tabs>
          <w:tab w:val="num" w:pos="3600"/>
        </w:tabs>
        <w:ind w:left="3600" w:hanging="360"/>
      </w:pPr>
      <w:rPr>
        <w:rFonts w:ascii="Arial" w:hAnsi="Arial" w:hint="default"/>
      </w:rPr>
    </w:lvl>
    <w:lvl w:ilvl="5" w:tplc="E7A44616" w:tentative="1">
      <w:start w:val="1"/>
      <w:numFmt w:val="bullet"/>
      <w:lvlText w:val="•"/>
      <w:lvlJc w:val="left"/>
      <w:pPr>
        <w:tabs>
          <w:tab w:val="num" w:pos="4320"/>
        </w:tabs>
        <w:ind w:left="4320" w:hanging="360"/>
      </w:pPr>
      <w:rPr>
        <w:rFonts w:ascii="Arial" w:hAnsi="Arial" w:hint="default"/>
      </w:rPr>
    </w:lvl>
    <w:lvl w:ilvl="6" w:tplc="30405F7E" w:tentative="1">
      <w:start w:val="1"/>
      <w:numFmt w:val="bullet"/>
      <w:lvlText w:val="•"/>
      <w:lvlJc w:val="left"/>
      <w:pPr>
        <w:tabs>
          <w:tab w:val="num" w:pos="5040"/>
        </w:tabs>
        <w:ind w:left="5040" w:hanging="360"/>
      </w:pPr>
      <w:rPr>
        <w:rFonts w:ascii="Arial" w:hAnsi="Arial" w:hint="default"/>
      </w:rPr>
    </w:lvl>
    <w:lvl w:ilvl="7" w:tplc="E5626084" w:tentative="1">
      <w:start w:val="1"/>
      <w:numFmt w:val="bullet"/>
      <w:lvlText w:val="•"/>
      <w:lvlJc w:val="left"/>
      <w:pPr>
        <w:tabs>
          <w:tab w:val="num" w:pos="5760"/>
        </w:tabs>
        <w:ind w:left="5760" w:hanging="360"/>
      </w:pPr>
      <w:rPr>
        <w:rFonts w:ascii="Arial" w:hAnsi="Arial" w:hint="default"/>
      </w:rPr>
    </w:lvl>
    <w:lvl w:ilvl="8" w:tplc="21F4D76E" w:tentative="1">
      <w:start w:val="1"/>
      <w:numFmt w:val="bullet"/>
      <w:lvlText w:val="•"/>
      <w:lvlJc w:val="left"/>
      <w:pPr>
        <w:tabs>
          <w:tab w:val="num" w:pos="6480"/>
        </w:tabs>
        <w:ind w:left="6480" w:hanging="360"/>
      </w:pPr>
      <w:rPr>
        <w:rFonts w:ascii="Arial" w:hAnsi="Arial" w:hint="default"/>
      </w:rPr>
    </w:lvl>
  </w:abstractNum>
  <w:abstractNum w:abstractNumId="7">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3F2572"/>
    <w:multiLevelType w:val="hybridMultilevel"/>
    <w:tmpl w:val="A59E146C"/>
    <w:lvl w:ilvl="0" w:tplc="9F00737A">
      <w:numFmt w:val="bullet"/>
      <w:lvlText w:val="-"/>
      <w:lvlJc w:val="left"/>
      <w:pPr>
        <w:ind w:left="108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FE16B9"/>
    <w:multiLevelType w:val="hybridMultilevel"/>
    <w:tmpl w:val="DEF0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C07554"/>
    <w:multiLevelType w:val="hybridMultilevel"/>
    <w:tmpl w:val="DB78203E"/>
    <w:lvl w:ilvl="0" w:tplc="7E7245A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534050"/>
    <w:multiLevelType w:val="hybridMultilevel"/>
    <w:tmpl w:val="F118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29B83BCE"/>
    <w:multiLevelType w:val="hybridMultilevel"/>
    <w:tmpl w:val="1AB63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FC0FF0"/>
    <w:multiLevelType w:val="hybridMultilevel"/>
    <w:tmpl w:val="5A7E2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054CBA"/>
    <w:multiLevelType w:val="hybridMultilevel"/>
    <w:tmpl w:val="9E187416"/>
    <w:lvl w:ilvl="0" w:tplc="0AC45CC0">
      <w:start w:val="1"/>
      <w:numFmt w:val="bullet"/>
      <w:lvlText w:val="•"/>
      <w:lvlJc w:val="left"/>
      <w:pPr>
        <w:tabs>
          <w:tab w:val="num" w:pos="720"/>
        </w:tabs>
        <w:ind w:left="720" w:hanging="360"/>
      </w:pPr>
      <w:rPr>
        <w:rFonts w:ascii="Arial" w:hAnsi="Arial" w:hint="default"/>
      </w:rPr>
    </w:lvl>
    <w:lvl w:ilvl="1" w:tplc="8BE434D2">
      <w:start w:val="1214"/>
      <w:numFmt w:val="bullet"/>
      <w:lvlText w:val="–"/>
      <w:lvlJc w:val="left"/>
      <w:pPr>
        <w:tabs>
          <w:tab w:val="num" w:pos="1440"/>
        </w:tabs>
        <w:ind w:left="1440" w:hanging="360"/>
      </w:pPr>
      <w:rPr>
        <w:rFonts w:ascii="Arial" w:hAnsi="Arial" w:hint="default"/>
      </w:rPr>
    </w:lvl>
    <w:lvl w:ilvl="2" w:tplc="AA4E0168" w:tentative="1">
      <w:start w:val="1"/>
      <w:numFmt w:val="bullet"/>
      <w:lvlText w:val="•"/>
      <w:lvlJc w:val="left"/>
      <w:pPr>
        <w:tabs>
          <w:tab w:val="num" w:pos="2160"/>
        </w:tabs>
        <w:ind w:left="2160" w:hanging="360"/>
      </w:pPr>
      <w:rPr>
        <w:rFonts w:ascii="Arial" w:hAnsi="Arial" w:hint="default"/>
      </w:rPr>
    </w:lvl>
    <w:lvl w:ilvl="3" w:tplc="5FB65EB6" w:tentative="1">
      <w:start w:val="1"/>
      <w:numFmt w:val="bullet"/>
      <w:lvlText w:val="•"/>
      <w:lvlJc w:val="left"/>
      <w:pPr>
        <w:tabs>
          <w:tab w:val="num" w:pos="2880"/>
        </w:tabs>
        <w:ind w:left="2880" w:hanging="360"/>
      </w:pPr>
      <w:rPr>
        <w:rFonts w:ascii="Arial" w:hAnsi="Arial" w:hint="default"/>
      </w:rPr>
    </w:lvl>
    <w:lvl w:ilvl="4" w:tplc="CCC2B9BC" w:tentative="1">
      <w:start w:val="1"/>
      <w:numFmt w:val="bullet"/>
      <w:lvlText w:val="•"/>
      <w:lvlJc w:val="left"/>
      <w:pPr>
        <w:tabs>
          <w:tab w:val="num" w:pos="3600"/>
        </w:tabs>
        <w:ind w:left="3600" w:hanging="360"/>
      </w:pPr>
      <w:rPr>
        <w:rFonts w:ascii="Arial" w:hAnsi="Arial" w:hint="default"/>
      </w:rPr>
    </w:lvl>
    <w:lvl w:ilvl="5" w:tplc="D7DA3F8C" w:tentative="1">
      <w:start w:val="1"/>
      <w:numFmt w:val="bullet"/>
      <w:lvlText w:val="•"/>
      <w:lvlJc w:val="left"/>
      <w:pPr>
        <w:tabs>
          <w:tab w:val="num" w:pos="4320"/>
        </w:tabs>
        <w:ind w:left="4320" w:hanging="360"/>
      </w:pPr>
      <w:rPr>
        <w:rFonts w:ascii="Arial" w:hAnsi="Arial" w:hint="default"/>
      </w:rPr>
    </w:lvl>
    <w:lvl w:ilvl="6" w:tplc="3B5ED6C8" w:tentative="1">
      <w:start w:val="1"/>
      <w:numFmt w:val="bullet"/>
      <w:lvlText w:val="•"/>
      <w:lvlJc w:val="left"/>
      <w:pPr>
        <w:tabs>
          <w:tab w:val="num" w:pos="5040"/>
        </w:tabs>
        <w:ind w:left="5040" w:hanging="360"/>
      </w:pPr>
      <w:rPr>
        <w:rFonts w:ascii="Arial" w:hAnsi="Arial" w:hint="default"/>
      </w:rPr>
    </w:lvl>
    <w:lvl w:ilvl="7" w:tplc="6570DF02" w:tentative="1">
      <w:start w:val="1"/>
      <w:numFmt w:val="bullet"/>
      <w:lvlText w:val="•"/>
      <w:lvlJc w:val="left"/>
      <w:pPr>
        <w:tabs>
          <w:tab w:val="num" w:pos="5760"/>
        </w:tabs>
        <w:ind w:left="5760" w:hanging="360"/>
      </w:pPr>
      <w:rPr>
        <w:rFonts w:ascii="Arial" w:hAnsi="Arial" w:hint="default"/>
      </w:rPr>
    </w:lvl>
    <w:lvl w:ilvl="8" w:tplc="ED7C39B6" w:tentative="1">
      <w:start w:val="1"/>
      <w:numFmt w:val="bullet"/>
      <w:lvlText w:val="•"/>
      <w:lvlJc w:val="left"/>
      <w:pPr>
        <w:tabs>
          <w:tab w:val="num" w:pos="6480"/>
        </w:tabs>
        <w:ind w:left="6480" w:hanging="360"/>
      </w:pPr>
      <w:rPr>
        <w:rFonts w:ascii="Arial" w:hAnsi="Arial" w:hint="default"/>
      </w:rPr>
    </w:lvl>
  </w:abstractNum>
  <w:abstractNum w:abstractNumId="19">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nsid w:val="41103AF7"/>
    <w:multiLevelType w:val="hybridMultilevel"/>
    <w:tmpl w:val="F32A3598"/>
    <w:lvl w:ilvl="0" w:tplc="4CEA43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4C756B30"/>
    <w:multiLevelType w:val="hybridMultilevel"/>
    <w:tmpl w:val="A10CE5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020308"/>
    <w:multiLevelType w:val="hybridMultilevel"/>
    <w:tmpl w:val="01AC6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3155F7"/>
    <w:multiLevelType w:val="hybridMultilevel"/>
    <w:tmpl w:val="5F84A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30">
    <w:nsid w:val="5EB75D34"/>
    <w:multiLevelType w:val="hybridMultilevel"/>
    <w:tmpl w:val="CAA23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5F05F1"/>
    <w:multiLevelType w:val="hybridMultilevel"/>
    <w:tmpl w:val="2BB2A8CC"/>
    <w:lvl w:ilvl="0" w:tplc="79ECDB24">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64265E3D"/>
    <w:multiLevelType w:val="hybridMultilevel"/>
    <w:tmpl w:val="0DF03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916A6D"/>
    <w:multiLevelType w:val="hybridMultilevel"/>
    <w:tmpl w:val="8728ABAE"/>
    <w:lvl w:ilvl="0" w:tplc="ACC460FE">
      <w:numFmt w:val="bullet"/>
      <w:lvlText w:val="-"/>
      <w:lvlJc w:val="left"/>
      <w:pPr>
        <w:ind w:left="720" w:hanging="360"/>
      </w:pPr>
      <w:rPr>
        <w:rFonts w:ascii="Calibri" w:eastAsia="SimSun" w:hAnsi="Calibri" w:cs="Calibri" w:hint="default"/>
        <w:color w:val="1F497D"/>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6E0A3F80"/>
    <w:multiLevelType w:val="hybridMultilevel"/>
    <w:tmpl w:val="A484CC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8474C8"/>
    <w:multiLevelType w:val="hybridMultilevel"/>
    <w:tmpl w:val="8CCE1C14"/>
    <w:lvl w:ilvl="0" w:tplc="4D2033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053A3B"/>
    <w:multiLevelType w:val="hybridMultilevel"/>
    <w:tmpl w:val="50A6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2">
    <w:nsid w:val="7E9B4726"/>
    <w:multiLevelType w:val="hybridMultilevel"/>
    <w:tmpl w:val="9334C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8"/>
  </w:num>
  <w:num w:numId="3">
    <w:abstractNumId w:val="16"/>
  </w:num>
  <w:num w:numId="4">
    <w:abstractNumId w:val="19"/>
  </w:num>
  <w:num w:numId="5">
    <w:abstractNumId w:val="29"/>
  </w:num>
  <w:num w:numId="6">
    <w:abstractNumId w:val="7"/>
  </w:num>
  <w:num w:numId="7">
    <w:abstractNumId w:val="40"/>
  </w:num>
  <w:num w:numId="8">
    <w:abstractNumId w:val="13"/>
  </w:num>
  <w:num w:numId="9">
    <w:abstractNumId w:val="41"/>
  </w:num>
  <w:num w:numId="10">
    <w:abstractNumId w:val="35"/>
  </w:num>
  <w:num w:numId="11">
    <w:abstractNumId w:val="31"/>
  </w:num>
  <w:num w:numId="12">
    <w:abstractNumId w:val="0"/>
  </w:num>
  <w:num w:numId="13">
    <w:abstractNumId w:val="30"/>
  </w:num>
  <w:num w:numId="14">
    <w:abstractNumId w:val="22"/>
  </w:num>
  <w:num w:numId="15">
    <w:abstractNumId w:val="14"/>
  </w:num>
  <w:num w:numId="16">
    <w:abstractNumId w:val="1"/>
  </w:num>
  <w:num w:numId="17">
    <w:abstractNumId w:val="2"/>
  </w:num>
  <w:num w:numId="18">
    <w:abstractNumId w:val="26"/>
  </w:num>
  <w:num w:numId="19">
    <w:abstractNumId w:val="9"/>
  </w:num>
  <w:num w:numId="20">
    <w:abstractNumId w:val="20"/>
  </w:num>
  <w:num w:numId="21">
    <w:abstractNumId w:val="12"/>
  </w:num>
  <w:num w:numId="22">
    <w:abstractNumId w:val="27"/>
  </w:num>
  <w:num w:numId="23">
    <w:abstractNumId w:val="24"/>
  </w:num>
  <w:num w:numId="24">
    <w:abstractNumId w:val="25"/>
  </w:num>
  <w:num w:numId="25">
    <w:abstractNumId w:val="23"/>
  </w:num>
  <w:num w:numId="26">
    <w:abstractNumId w:val="3"/>
  </w:num>
  <w:num w:numId="27">
    <w:abstractNumId w:val="39"/>
  </w:num>
  <w:num w:numId="28">
    <w:abstractNumId w:val="21"/>
  </w:num>
  <w:num w:numId="29">
    <w:abstractNumId w:val="37"/>
  </w:num>
  <w:num w:numId="30">
    <w:abstractNumId w:val="10"/>
  </w:num>
  <w:num w:numId="31">
    <w:abstractNumId w:val="6"/>
  </w:num>
  <w:num w:numId="32">
    <w:abstractNumId w:val="18"/>
  </w:num>
  <w:num w:numId="33">
    <w:abstractNumId w:val="34"/>
  </w:num>
  <w:num w:numId="34">
    <w:abstractNumId w:val="28"/>
  </w:num>
  <w:num w:numId="35">
    <w:abstractNumId w:val="17"/>
  </w:num>
  <w:num w:numId="36">
    <w:abstractNumId w:val="15"/>
  </w:num>
  <w:num w:numId="37">
    <w:abstractNumId w:val="33"/>
  </w:num>
  <w:num w:numId="38">
    <w:abstractNumId w:val="36"/>
  </w:num>
  <w:num w:numId="39">
    <w:abstractNumId w:val="5"/>
  </w:num>
  <w:num w:numId="40">
    <w:abstractNumId w:val="4"/>
  </w:num>
  <w:num w:numId="41">
    <w:abstractNumId w:val="32"/>
  </w:num>
  <w:num w:numId="42">
    <w:abstractNumId w:val="38"/>
  </w:num>
  <w:num w:numId="43">
    <w:abstractNumId w:val="11"/>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15D7C"/>
    <w:rsid w:val="00016953"/>
    <w:rsid w:val="0004460C"/>
    <w:rsid w:val="0005697D"/>
    <w:rsid w:val="00083C64"/>
    <w:rsid w:val="000927A8"/>
    <w:rsid w:val="000A77CD"/>
    <w:rsid w:val="000C1F51"/>
    <w:rsid w:val="000C4D7C"/>
    <w:rsid w:val="000D3FEB"/>
    <w:rsid w:val="000E557E"/>
    <w:rsid w:val="00102F2C"/>
    <w:rsid w:val="0016041A"/>
    <w:rsid w:val="001719D8"/>
    <w:rsid w:val="001740AD"/>
    <w:rsid w:val="001866DA"/>
    <w:rsid w:val="001954DB"/>
    <w:rsid w:val="001B2088"/>
    <w:rsid w:val="001D7BD6"/>
    <w:rsid w:val="00205468"/>
    <w:rsid w:val="002331B8"/>
    <w:rsid w:val="002335B8"/>
    <w:rsid w:val="00247958"/>
    <w:rsid w:val="002946C0"/>
    <w:rsid w:val="00295FCC"/>
    <w:rsid w:val="002A1099"/>
    <w:rsid w:val="002A421C"/>
    <w:rsid w:val="002A56A0"/>
    <w:rsid w:val="002C0AFF"/>
    <w:rsid w:val="002C698F"/>
    <w:rsid w:val="002C7A9D"/>
    <w:rsid w:val="002D01D1"/>
    <w:rsid w:val="002D4C4D"/>
    <w:rsid w:val="002D52DF"/>
    <w:rsid w:val="002F00C3"/>
    <w:rsid w:val="002F2AF1"/>
    <w:rsid w:val="003079D7"/>
    <w:rsid w:val="0032289E"/>
    <w:rsid w:val="00324A7A"/>
    <w:rsid w:val="00327F01"/>
    <w:rsid w:val="00350BC7"/>
    <w:rsid w:val="00364695"/>
    <w:rsid w:val="0036787F"/>
    <w:rsid w:val="003704BD"/>
    <w:rsid w:val="0037092D"/>
    <w:rsid w:val="00375FC6"/>
    <w:rsid w:val="0038270F"/>
    <w:rsid w:val="003F68FD"/>
    <w:rsid w:val="00415CF8"/>
    <w:rsid w:val="004170B3"/>
    <w:rsid w:val="00470B4C"/>
    <w:rsid w:val="0047238A"/>
    <w:rsid w:val="00475509"/>
    <w:rsid w:val="004801DE"/>
    <w:rsid w:val="004877F4"/>
    <w:rsid w:val="004B422F"/>
    <w:rsid w:val="004B6E1C"/>
    <w:rsid w:val="004C124D"/>
    <w:rsid w:val="004D178C"/>
    <w:rsid w:val="004E0933"/>
    <w:rsid w:val="00500656"/>
    <w:rsid w:val="0051040B"/>
    <w:rsid w:val="00515506"/>
    <w:rsid w:val="0054454E"/>
    <w:rsid w:val="00551D83"/>
    <w:rsid w:val="00553647"/>
    <w:rsid w:val="005909F4"/>
    <w:rsid w:val="00593049"/>
    <w:rsid w:val="005A0C32"/>
    <w:rsid w:val="005B7ABB"/>
    <w:rsid w:val="005D3BB7"/>
    <w:rsid w:val="005E028A"/>
    <w:rsid w:val="005E055B"/>
    <w:rsid w:val="005E2583"/>
    <w:rsid w:val="00661A34"/>
    <w:rsid w:val="006A6B21"/>
    <w:rsid w:val="006A7F8B"/>
    <w:rsid w:val="006E3BD6"/>
    <w:rsid w:val="00702143"/>
    <w:rsid w:val="00706709"/>
    <w:rsid w:val="00740D3A"/>
    <w:rsid w:val="007470B8"/>
    <w:rsid w:val="00753F9D"/>
    <w:rsid w:val="00775223"/>
    <w:rsid w:val="00776314"/>
    <w:rsid w:val="00787096"/>
    <w:rsid w:val="00787F69"/>
    <w:rsid w:val="00794B91"/>
    <w:rsid w:val="007A4518"/>
    <w:rsid w:val="007A79C4"/>
    <w:rsid w:val="0082451F"/>
    <w:rsid w:val="00833C1F"/>
    <w:rsid w:val="00853E9E"/>
    <w:rsid w:val="00871A9A"/>
    <w:rsid w:val="00890C0B"/>
    <w:rsid w:val="00891F6D"/>
    <w:rsid w:val="00892C2C"/>
    <w:rsid w:val="008A28AE"/>
    <w:rsid w:val="008B706E"/>
    <w:rsid w:val="008C254D"/>
    <w:rsid w:val="008D0830"/>
    <w:rsid w:val="008E5AEB"/>
    <w:rsid w:val="008E6B5E"/>
    <w:rsid w:val="008F7C1B"/>
    <w:rsid w:val="00901C4D"/>
    <w:rsid w:val="0090367C"/>
    <w:rsid w:val="00905EAF"/>
    <w:rsid w:val="00914B51"/>
    <w:rsid w:val="00946488"/>
    <w:rsid w:val="009464DC"/>
    <w:rsid w:val="00952015"/>
    <w:rsid w:val="00953FE9"/>
    <w:rsid w:val="009552EB"/>
    <w:rsid w:val="00985DE5"/>
    <w:rsid w:val="0098645D"/>
    <w:rsid w:val="0099160B"/>
    <w:rsid w:val="00991760"/>
    <w:rsid w:val="009A48F3"/>
    <w:rsid w:val="009B6F16"/>
    <w:rsid w:val="009C7DD9"/>
    <w:rsid w:val="009D5BFE"/>
    <w:rsid w:val="009E58D9"/>
    <w:rsid w:val="00A01ABF"/>
    <w:rsid w:val="00A16D53"/>
    <w:rsid w:val="00A219D6"/>
    <w:rsid w:val="00A37D68"/>
    <w:rsid w:val="00A543CD"/>
    <w:rsid w:val="00A7069E"/>
    <w:rsid w:val="00A83DAA"/>
    <w:rsid w:val="00AA34BC"/>
    <w:rsid w:val="00AB6FC7"/>
    <w:rsid w:val="00AB7A0C"/>
    <w:rsid w:val="00AD7AAA"/>
    <w:rsid w:val="00AE4E21"/>
    <w:rsid w:val="00AF47A5"/>
    <w:rsid w:val="00AF708E"/>
    <w:rsid w:val="00B15F44"/>
    <w:rsid w:val="00B20383"/>
    <w:rsid w:val="00B30865"/>
    <w:rsid w:val="00B31072"/>
    <w:rsid w:val="00B31134"/>
    <w:rsid w:val="00B60D76"/>
    <w:rsid w:val="00B83B20"/>
    <w:rsid w:val="00B83C26"/>
    <w:rsid w:val="00B87B6D"/>
    <w:rsid w:val="00BA5A89"/>
    <w:rsid w:val="00BA7A6C"/>
    <w:rsid w:val="00BB18D0"/>
    <w:rsid w:val="00BC3F4F"/>
    <w:rsid w:val="00BC4672"/>
    <w:rsid w:val="00BD6497"/>
    <w:rsid w:val="00BF73C1"/>
    <w:rsid w:val="00C15B51"/>
    <w:rsid w:val="00C445AA"/>
    <w:rsid w:val="00C5320B"/>
    <w:rsid w:val="00C537D5"/>
    <w:rsid w:val="00C603D8"/>
    <w:rsid w:val="00C658DD"/>
    <w:rsid w:val="00C95E79"/>
    <w:rsid w:val="00CA3C05"/>
    <w:rsid w:val="00CA6E09"/>
    <w:rsid w:val="00CB7E92"/>
    <w:rsid w:val="00CC57AA"/>
    <w:rsid w:val="00CD3FD9"/>
    <w:rsid w:val="00CF5E33"/>
    <w:rsid w:val="00D30265"/>
    <w:rsid w:val="00D47968"/>
    <w:rsid w:val="00D64CA9"/>
    <w:rsid w:val="00D82688"/>
    <w:rsid w:val="00D86DAE"/>
    <w:rsid w:val="00D91671"/>
    <w:rsid w:val="00D95DDD"/>
    <w:rsid w:val="00DA0BAF"/>
    <w:rsid w:val="00DD072B"/>
    <w:rsid w:val="00DD24AB"/>
    <w:rsid w:val="00DD4528"/>
    <w:rsid w:val="00DD761F"/>
    <w:rsid w:val="00DE037F"/>
    <w:rsid w:val="00DE74DB"/>
    <w:rsid w:val="00DF44C9"/>
    <w:rsid w:val="00E10D16"/>
    <w:rsid w:val="00E23C85"/>
    <w:rsid w:val="00E27C9F"/>
    <w:rsid w:val="00E37E8F"/>
    <w:rsid w:val="00E62924"/>
    <w:rsid w:val="00E636B0"/>
    <w:rsid w:val="00E74CA5"/>
    <w:rsid w:val="00E813AB"/>
    <w:rsid w:val="00E9097B"/>
    <w:rsid w:val="00EC1526"/>
    <w:rsid w:val="00EC61DA"/>
    <w:rsid w:val="00EC7B0D"/>
    <w:rsid w:val="00EE5720"/>
    <w:rsid w:val="00F00FF8"/>
    <w:rsid w:val="00F04276"/>
    <w:rsid w:val="00F255C2"/>
    <w:rsid w:val="00F31035"/>
    <w:rsid w:val="00F337C4"/>
    <w:rsid w:val="00F3567F"/>
    <w:rsid w:val="00F41B2F"/>
    <w:rsid w:val="00F45320"/>
    <w:rsid w:val="00F57CE0"/>
    <w:rsid w:val="00F64177"/>
    <w:rsid w:val="00F87CF8"/>
    <w:rsid w:val="00FA5206"/>
    <w:rsid w:val="00FB165A"/>
    <w:rsid w:val="00FB6508"/>
    <w:rsid w:val="00FC513A"/>
    <w:rsid w:val="00FD06C7"/>
    <w:rsid w:val="00FE66C9"/>
    <w:rsid w:val="00FF3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157536">
      <w:bodyDiv w:val="1"/>
      <w:marLeft w:val="0"/>
      <w:marRight w:val="0"/>
      <w:marTop w:val="0"/>
      <w:marBottom w:val="0"/>
      <w:divBdr>
        <w:top w:val="none" w:sz="0" w:space="0" w:color="auto"/>
        <w:left w:val="none" w:sz="0" w:space="0" w:color="auto"/>
        <w:bottom w:val="none" w:sz="0" w:space="0" w:color="auto"/>
        <w:right w:val="none" w:sz="0" w:space="0" w:color="auto"/>
      </w:divBdr>
    </w:div>
    <w:div w:id="496533281">
      <w:bodyDiv w:val="1"/>
      <w:marLeft w:val="0"/>
      <w:marRight w:val="0"/>
      <w:marTop w:val="0"/>
      <w:marBottom w:val="0"/>
      <w:divBdr>
        <w:top w:val="none" w:sz="0" w:space="0" w:color="auto"/>
        <w:left w:val="none" w:sz="0" w:space="0" w:color="auto"/>
        <w:bottom w:val="none" w:sz="0" w:space="0" w:color="auto"/>
        <w:right w:val="none" w:sz="0" w:space="0" w:color="auto"/>
      </w:divBdr>
    </w:div>
    <w:div w:id="703529487">
      <w:bodyDiv w:val="1"/>
      <w:marLeft w:val="0"/>
      <w:marRight w:val="0"/>
      <w:marTop w:val="0"/>
      <w:marBottom w:val="0"/>
      <w:divBdr>
        <w:top w:val="none" w:sz="0" w:space="0" w:color="auto"/>
        <w:left w:val="none" w:sz="0" w:space="0" w:color="auto"/>
        <w:bottom w:val="none" w:sz="0" w:space="0" w:color="auto"/>
        <w:right w:val="none" w:sz="0" w:space="0" w:color="auto"/>
      </w:divBdr>
    </w:div>
    <w:div w:id="788084265">
      <w:bodyDiv w:val="1"/>
      <w:marLeft w:val="0"/>
      <w:marRight w:val="0"/>
      <w:marTop w:val="0"/>
      <w:marBottom w:val="0"/>
      <w:divBdr>
        <w:top w:val="none" w:sz="0" w:space="0" w:color="auto"/>
        <w:left w:val="none" w:sz="0" w:space="0" w:color="auto"/>
        <w:bottom w:val="none" w:sz="0" w:space="0" w:color="auto"/>
        <w:right w:val="none" w:sz="0" w:space="0" w:color="auto"/>
      </w:divBdr>
    </w:div>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1052653440">
      <w:bodyDiv w:val="1"/>
      <w:marLeft w:val="0"/>
      <w:marRight w:val="0"/>
      <w:marTop w:val="0"/>
      <w:marBottom w:val="0"/>
      <w:divBdr>
        <w:top w:val="none" w:sz="0" w:space="0" w:color="auto"/>
        <w:left w:val="none" w:sz="0" w:space="0" w:color="auto"/>
        <w:bottom w:val="none" w:sz="0" w:space="0" w:color="auto"/>
        <w:right w:val="none" w:sz="0" w:space="0" w:color="auto"/>
      </w:divBdr>
    </w:div>
    <w:div w:id="1551913782">
      <w:bodyDiv w:val="1"/>
      <w:marLeft w:val="0"/>
      <w:marRight w:val="0"/>
      <w:marTop w:val="0"/>
      <w:marBottom w:val="0"/>
      <w:divBdr>
        <w:top w:val="none" w:sz="0" w:space="0" w:color="auto"/>
        <w:left w:val="none" w:sz="0" w:space="0" w:color="auto"/>
        <w:bottom w:val="none" w:sz="0" w:space="0" w:color="auto"/>
        <w:right w:val="none" w:sz="0" w:space="0" w:color="auto"/>
      </w:divBdr>
    </w:div>
    <w:div w:id="1646932564">
      <w:bodyDiv w:val="1"/>
      <w:marLeft w:val="0"/>
      <w:marRight w:val="0"/>
      <w:marTop w:val="0"/>
      <w:marBottom w:val="0"/>
      <w:divBdr>
        <w:top w:val="none" w:sz="0" w:space="0" w:color="auto"/>
        <w:left w:val="none" w:sz="0" w:space="0" w:color="auto"/>
        <w:bottom w:val="none" w:sz="0" w:space="0" w:color="auto"/>
        <w:right w:val="none" w:sz="0" w:space="0" w:color="auto"/>
      </w:divBdr>
    </w:div>
    <w:div w:id="1693534812">
      <w:bodyDiv w:val="1"/>
      <w:marLeft w:val="0"/>
      <w:marRight w:val="0"/>
      <w:marTop w:val="0"/>
      <w:marBottom w:val="0"/>
      <w:divBdr>
        <w:top w:val="none" w:sz="0" w:space="0" w:color="auto"/>
        <w:left w:val="none" w:sz="0" w:space="0" w:color="auto"/>
        <w:bottom w:val="none" w:sz="0" w:space="0" w:color="auto"/>
        <w:right w:val="none" w:sz="0" w:space="0" w:color="auto"/>
      </w:divBdr>
    </w:div>
    <w:div w:id="1801415927">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97822-7801-4812-883C-377C48EA8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755</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Stefano Sorrentino</cp:lastModifiedBy>
  <cp:revision>4</cp:revision>
  <dcterms:created xsi:type="dcterms:W3CDTF">2014-11-07T10:15:00Z</dcterms:created>
  <dcterms:modified xsi:type="dcterms:W3CDTF">2014-11-07T16:01:00Z</dcterms:modified>
</cp:coreProperties>
</file>